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一、活动设计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红领巾飘扬 醇香传承”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</w:t>
      </w:r>
      <w:r>
        <w:rPr>
          <w:rFonts w:hint="eastAsia"/>
          <w:b/>
          <w:bCs/>
          <w:sz w:val="36"/>
          <w:szCs w:val="36"/>
          <w:lang w:val="en-US" w:eastAsia="zh-CN"/>
        </w:rPr>
        <w:t>劳动节里的春日酿酒之旅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/>
          <w:b/>
          <w:sz w:val="30"/>
          <w:szCs w:val="30"/>
          <w:lang w:val="en-US" w:eastAsia="zh-CN"/>
        </w:rPr>
        <w:t>活动</w:t>
      </w:r>
      <w:r>
        <w:rPr>
          <w:rFonts w:hint="eastAsia"/>
          <w:b/>
          <w:sz w:val="30"/>
          <w:szCs w:val="30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default" w:ascii="仿宋_GB2312" w:hAnsi="华文中宋" w:eastAsia="仿宋_GB2312" w:cs="宋体"/>
          <w:kern w:val="0"/>
          <w:sz w:val="28"/>
          <w:szCs w:val="28"/>
          <w:lang w:val="en-US" w:eastAsia="zh-CN"/>
        </w:rPr>
        <w:t>劳动节是弘扬劳动精神、培养劳动习惯的重要时刻。劳动节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又</w:t>
      </w:r>
      <w:r>
        <w:rPr>
          <w:rFonts w:hint="default" w:ascii="仿宋_GB2312" w:hAnsi="华文中宋" w:eastAsia="仿宋_GB2312" w:cs="宋体"/>
          <w:kern w:val="0"/>
          <w:sz w:val="28"/>
          <w:szCs w:val="28"/>
          <w:lang w:val="en-US" w:eastAsia="zh-CN"/>
        </w:rPr>
        <w:t>恰逢春天，万物复苏，生机盎然。通过举办“劳动节酿酒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假日营</w:t>
      </w:r>
      <w:r>
        <w:rPr>
          <w:rFonts w:hint="default" w:ascii="仿宋_GB2312" w:hAnsi="华文中宋" w:eastAsia="仿宋_GB2312" w:cs="宋体"/>
          <w:kern w:val="0"/>
          <w:sz w:val="28"/>
          <w:szCs w:val="28"/>
          <w:lang w:val="en-US" w:eastAsia="zh-CN"/>
        </w:rPr>
        <w:t>活动”，让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少先队们</w:t>
      </w:r>
      <w:r>
        <w:rPr>
          <w:rFonts w:hint="default" w:ascii="仿宋_GB2312" w:hAnsi="华文中宋" w:eastAsia="仿宋_GB2312" w:cs="宋体"/>
          <w:kern w:val="0"/>
          <w:sz w:val="28"/>
          <w:szCs w:val="28"/>
          <w:lang w:val="en-US" w:eastAsia="zh-CN"/>
        </w:rPr>
        <w:t>亲身体验酿酒这一古老且充满智慧的劳动过程，感悟劳动的价值与魅力，同时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结合</w:t>
      </w:r>
      <w:r>
        <w:rPr>
          <w:rFonts w:hint="default" w:ascii="仿宋_GB2312" w:hAnsi="华文中宋" w:eastAsia="仿宋_GB2312" w:cs="宋体"/>
          <w:kern w:val="0"/>
          <w:sz w:val="28"/>
          <w:szCs w:val="28"/>
          <w:lang w:val="en-US" w:eastAsia="zh-CN"/>
        </w:rPr>
        <w:t>春天的独特气息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寻找乡村之美，</w:t>
      </w:r>
      <w:bookmarkStart w:id="0" w:name="_GoBack"/>
      <w:bookmarkEnd w:id="0"/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让小学生</w:t>
      </w:r>
      <w:r>
        <w:rPr>
          <w:rFonts w:hint="default" w:ascii="仿宋_GB2312" w:hAnsi="华文中宋" w:eastAsia="仿宋_GB2312" w:cs="宋体"/>
          <w:kern w:val="0"/>
          <w:sz w:val="28"/>
          <w:szCs w:val="28"/>
          <w:lang w:val="en-US" w:eastAsia="zh-CN"/>
        </w:rPr>
        <w:t>领悟劳动价值与季节智慧。</w:t>
      </w:r>
    </w:p>
    <w:p>
      <w:p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（二）活动目标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1. 感知季节之美：通过春季酿酒，引导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少先队员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观察、感知春天的自然变化，理解季节对酿酒原料及工艺的影响。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2. 实践劳动技能：动手参与春季酿酒过程，锻炼动手能力，提升劳动技能，感受劳动创造的快乐。。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3. 传承非遗文化：了解并欣赏我国传统的非遗酿酒技艺，增强文化自信。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4.培养劳动意识：在实践中体会劳动的艰辛与成就，培养尊重劳动、热爱劳动的良好品质。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树立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爱情精神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引导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少先队员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从小树立起热爱祖国、勇于创新的精神风貌，成长为德智体美劳全面发展的新时代好少年。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（三）活动时间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5月1日8：30-16：00                                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（四）活动地点</w:t>
      </w:r>
    </w:p>
    <w:p>
      <w:pPr>
        <w:spacing w:line="360" w:lineRule="auto"/>
        <w:ind w:firstLine="560" w:firstLineChars="200"/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绍兴东浦街道南村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（五）参加对象及人数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预招35人，3年级</w:t>
      </w:r>
      <w:r>
        <w:rPr>
          <w:rFonts w:hint="eastAsia"/>
          <w:sz w:val="28"/>
          <w:szCs w:val="28"/>
          <w:lang w:val="en-US" w:eastAsia="zh-CN"/>
        </w:rPr>
        <w:t>以上少先队员</w:t>
      </w:r>
    </w:p>
    <w:p>
      <w:pPr>
        <w:spacing w:line="360" w:lineRule="auto"/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研学费用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238元/人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（七）活动形式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1．组织形式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个人活动与小组活动相结合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2．探究形式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（1）调查访问（2）劳动体验（3）合作交流（4）规划整理（5）反思研究</w:t>
      </w:r>
    </w:p>
    <w:p>
      <w:p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（八）活动准备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1．实地考察东浦南村，选取具体活动的地点路线，确定活动开展的形式、内容和活动成果展示的方式方法。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2．向学校有关部门及领导申请活动，与活动场所相关工作人员协调合作，取得他们的信任与支持。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3．进行活动方法的指导及活动安全及相关事宜的强调说明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4．活动预告的发放、活动小组成员的确认及分工，主要采用调查、访问、收集、整理的形式亲身体验动手实践。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5.材料的购买（制作书签、制酒、浮雕画等工具），广告的印制（活动徽章、研学彩页、活动横幅、研学旗帜、研学封配），其他（交通、中餐、保险等）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6．考察方法及考察内容的确立（活动记录表、问卷调查表、采访记录表）</w:t>
      </w:r>
    </w:p>
    <w:p>
      <w:p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（九）活动安排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1、“春天的故事”自然探索：户外观察春日植物的生长状态，感知植物特性，封存植物最美的形态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寻找乡村之美景。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ascii="仿宋_GB2312" w:hAnsi="华文中宋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探秘古法酿造技艺：参观酒坊，讲解非遗酿酒的历史、工艺流程，介绍春季酿酒的特点、历史渊源、常用原料及工艺特点，强调劳动与季节的紧密联系，为实践活动做知识铺垫。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3.春季酿酒体验： 体验黄酒酿造工艺的八大步骤，感受发酵过程中的劳动付出。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华文中宋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.封坛仪式：模拟封存酒坛，体验传统封坛技艺，感受劳动成果的珍贵。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（十）研学流程</w:t>
      </w:r>
    </w:p>
    <w:tbl>
      <w:tblPr>
        <w:tblStyle w:val="8"/>
        <w:tblpPr w:leftFromText="180" w:rightFromText="180" w:vertAnchor="text" w:horzAnchor="page" w:tblpX="1653" w:tblpY="290"/>
        <w:tblOverlap w:val="never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546"/>
        <w:gridCol w:w="1636"/>
        <w:gridCol w:w="2125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劳动节里的春日酿酒之旅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活动安排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研学内容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场地教室</w:t>
            </w: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1446" w:hanging="1440" w:hangingChars="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参观南村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南村</w:t>
            </w: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8：50-9:30 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eastAsia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探秘酿造技艺（两组结合）</w:t>
            </w:r>
          </w:p>
          <w:p>
            <w:pPr>
              <w:spacing w:line="360" w:lineRule="auto"/>
              <w:ind w:left="-1260" w:leftChars="-6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宋式游园： 了解中国酒文化（两组结合）</w:t>
            </w:r>
          </w:p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酒坊</w:t>
            </w:r>
          </w:p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9:30-11:00</w:t>
            </w:r>
          </w:p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 w:val="continue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中饭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礼堂</w:t>
            </w: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11:10-12：30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4.定制封坛（酒坛封存）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礼堂</w:t>
            </w: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12：45：13：00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5.书签定制（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寻找乡村之美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13：00-14：30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6.封存浮雕画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礼堂</w:t>
            </w: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14：30-16：00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7.返回</w:t>
            </w:r>
          </w:p>
        </w:tc>
        <w:tc>
          <w:tcPr>
            <w:tcW w:w="163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活动中心</w:t>
            </w:r>
          </w:p>
        </w:tc>
        <w:tc>
          <w:tcPr>
            <w:tcW w:w="2125" w:type="dxa"/>
            <w:vAlign w:val="center"/>
          </w:tcPr>
          <w:p>
            <w:pPr>
              <w:spacing w:line="456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16：00</w:t>
            </w:r>
          </w:p>
        </w:tc>
        <w:tc>
          <w:tcPr>
            <w:tcW w:w="826" w:type="dxa"/>
            <w:vAlign w:val="center"/>
          </w:tcPr>
          <w:p>
            <w:pPr>
              <w:spacing w:line="456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叶</w:t>
            </w:r>
          </w:p>
        </w:tc>
      </w:tr>
    </w:tbl>
    <w:p>
      <w:pPr>
        <w:pStyle w:val="9"/>
        <w:ind w:firstLine="0" w:firstLineChars="0"/>
        <w:rPr>
          <w:rFonts w:hint="eastAsia" w:ascii="仿宋_GB2312" w:hAnsi="华文中宋" w:eastAsia="仿宋_GB2312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</w:t>
      </w:r>
      <w:r>
        <w:rPr>
          <w:rFonts w:hint="eastAsia" w:ascii="仿宋_GB2312" w:hAnsi="华文中宋" w:eastAsia="仿宋_GB2312" w:cs="宋体"/>
          <w:kern w:val="0"/>
          <w:sz w:val="24"/>
          <w:szCs w:val="24"/>
        </w:rPr>
        <w:t>根据场地需求，教师授课时间可能会有变化、教学顺序可能会有调整。）</w:t>
      </w:r>
    </w:p>
    <w:p>
      <w:p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（十一）活动要求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1．善于观察思考，勤于收集资料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活动中每位学生要善于观察和研究问题相关的想象与事实，勤于收集与研究内容相关的材料数据，并做好记录及统计整理的工作。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2．要有安全意识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要求每位学生都要以小组为单位，不能擅自行动。活动过程中不能做危险的动作和冒险行为，要树立安全意识。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3．要具备团队合作精神，提高活动效率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外出活动时间有限，活动中应以集体为主，提高效率，确保在规定的时间内完成探究任务。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活动中要求佩戴红领巾，且带好所需物品。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（十二）、活动相关要求：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1.统一安排大巴车接送，地点：青少年活动中心(城东)大门内（外停车场），报到集合（5月1日上午送8：30，下午接16：00）。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假日营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活动统一安排用餐。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3.每位学员请自备：笔、小黄帽、红领巾、小点心、餐巾纸、垃圾袋等（统一会发一瓶矿泉水、活动徽章、一日保险等）</w:t>
      </w:r>
    </w:p>
    <w:p>
      <w:p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（十三）经费预算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1.包车费用：1000元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2.成果展示及广告印刷费用：3000元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3.午餐费用：每人20元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4.材料费用：1200元</w:t>
      </w:r>
    </w:p>
    <w:p>
      <w:pPr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二、活动实施策略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围绕“寻找乡村之美”的探究性活动有着比城市更广的探究场所和感性材料，学生选择余地更大，活动方式更灵活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1．设计活动、加强定位。教师在设计“ 探究活动” 时，要对目标加以正确的定位： 落实什么知识，培养什么能力或技能，形成何种方法，达到怎样的情感体验，达成怎样的观念等。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2．有效分组、自由探究。探活动最好以小组合作的方式开展，教师宜按“兴趣相投，分工不同”的原则帮助学生组建小组。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3．把握重点、切合实际。 活动不求面面俱到，不同活动各有侧重。有的探究活动重在数据的收集、整理和解读上；而有的探究活动重在设计对照实验上。因此教师应指导学生把握切合实际的明确目标和重点。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抓住时机、适时指导。教师应抓住农村大自然的适当时机(如节气和季节变化)，引发学生积极探究。切合时机的课外探究旨在帮助学生充实课外生活，在适当时机结合课堂内容让学生展开探究，做到课内外的有机结合。</w:t>
      </w:r>
    </w:p>
    <w:p>
      <w:pPr>
        <w:spacing w:line="360" w:lineRule="auto"/>
        <w:ind w:firstLine="560" w:firstLineChars="200"/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5．有效评价，逐级推荐。及时有效地发展评价有助于学生体验成功的快乐，而多元评价则利于营造积极的探究氛围，教师应注重定期的探究成果评比和展出及成果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性评比活动。</w:t>
      </w:r>
    </w:p>
    <w:p>
      <w:pPr>
        <w:spacing w:line="36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三、活动成效</w:t>
      </w:r>
    </w:p>
    <w:p>
      <w:pPr>
        <w:spacing w:line="360" w:lineRule="auto"/>
        <w:ind w:firstLine="560" w:firstLineChars="200"/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这种结合了教育性与趣味性的校外实践活动，对于促进少年儿童全面发展具有重要的意义。此次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假日营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活动不仅能够让学生们走出课堂，感受家乡美丽新农村的变化，而且通过实践也让学生们学习了新知识，促进了学生对于传统文化、地方特色以及现代农业科技的理解。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1. 增进对传统工艺的认识：通过直接参与到酿酒过程中，学生们可以了解到中国悠久的酿酒文化及其背后的历史故事，从而加深对中国传统文化的兴趣与认识。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2. 提升科学素养：酿酒涉及到生物发酵等科学原理，这样的实践活动有助于激发孩子们对自然科学的好奇心，并通过亲手操作实验来增强他们的动手能力和解决问题的能力。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3. 培养团队合作精神：在活动中，学生们需要分工合作完成任务，这有利于他们学会沟通交流、相互支持，共同克服困难，从而培养良好的团队协作意识。</w:t>
      </w:r>
    </w:p>
    <w:p>
      <w:pPr>
        <w:spacing w:line="360" w:lineRule="auto"/>
        <w:ind w:firstLine="560" w:firstLineChars="200"/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4. 体验劳动的乐趣：让城市里的孩子有机会接触农田劳作，体会农民伯伯们的辛勤付出，懂得珍惜食物资源的同时也感受到了劳动带来的成就感。</w:t>
      </w:r>
    </w:p>
    <w:p>
      <w:pPr>
        <w:spacing w:line="360" w:lineRule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四、活动反思</w:t>
      </w:r>
    </w:p>
    <w:p>
      <w:pPr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1.对活动实施的评估</w:t>
      </w:r>
    </w:p>
    <w:p>
      <w:pPr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本次“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庆祝少先队建队75周年乡村酿酒文化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”的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假日营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活动达到的预期的效果。活动不仅使学生们感受到了非遗酿酒的历史、工艺流程，体验了黄酒酿造工艺的八大步骤，感受了发酵过程中的劳动付出。活动也让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>少先队员们</w:t>
      </w:r>
      <w:r>
        <w:rPr>
          <w:rFonts w:hint="eastAsia" w:ascii="仿宋_GB2312" w:hAnsi="华文中宋" w:eastAsia="仿宋_GB2312" w:cs="宋体"/>
          <w:kern w:val="0"/>
          <w:sz w:val="28"/>
          <w:szCs w:val="28"/>
        </w:rPr>
        <w:t>领略到了美丽新农村的日新月异，感受了新时代的发展之美，感悟了中华民族博大精深的乡土文化。此外学生们在开拓眼界，丰富课外生活，培养团队精神及动手、动脑和审美等综合能力中也起到了一定的作用。</w:t>
      </w:r>
      <w:r>
        <w:rPr>
          <w:rFonts w:hint="eastAsia" w:ascii="仿宋_GB2312" w:hAnsi="华文中宋" w:eastAsia="仿宋_GB2312" w:cs="宋体"/>
          <w:kern w:val="0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2.对活动可持续发展的评估</w:t>
      </w:r>
    </w:p>
    <w:p>
      <w:pPr>
        <w:spacing w:line="360" w:lineRule="auto"/>
        <w:ind w:firstLine="560" w:firstLineChars="200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活动设计合理，得到学校及当地单位的大力支持，具有很强的专业性、公益性、创新性及可行性。此活动的开展不仅取得了良好的社会效益，对新农村建设风情的宣传及发展也有一定的推广及影响力，而且对下期走进绍兴别的新农村活动积累了经验，打好了扎实的基础。</w:t>
      </w:r>
    </w:p>
    <w:p>
      <w:pPr>
        <w:spacing w:line="360" w:lineRule="auto"/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  <w:t>以下是附件</w:t>
      </w: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hAnsi="华文中宋" w:eastAsia="仿宋_GB2312" w:cs="宋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700" w:firstLineChars="250"/>
        <w:jc w:val="left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附件一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劳动节里的春日酿酒之旅</w:t>
      </w:r>
      <w:r>
        <w:rPr>
          <w:rFonts w:hint="eastAsia"/>
          <w:b/>
          <w:bCs/>
          <w:sz w:val="30"/>
          <w:szCs w:val="30"/>
        </w:rPr>
        <w:t>活动</w:t>
      </w:r>
      <w:r>
        <w:rPr>
          <w:rFonts w:hint="eastAsia"/>
          <w:b/>
          <w:bCs/>
          <w:sz w:val="30"/>
          <w:szCs w:val="30"/>
          <w:lang w:val="en-US" w:eastAsia="zh-CN"/>
        </w:rPr>
        <w:t>告家长书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劳动节是弘扬劳动精神、培养劳动习惯的重要时刻。劳动节又恰逢春天，万物复苏，生机盎然。通过举办“劳动节酿酒假日营活动”，让少先队们亲身体验酿酒这一古老且充满智慧的劳动过程，感悟劳动的价值与魅力，同时结合春天的独特气息，让小学生领悟劳动价值与季节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让我们一起为孩子开启</w:t>
      </w:r>
      <w:r>
        <w:rPr>
          <w:rFonts w:hint="eastAsia" w:ascii="宋体" w:hAnsi="宋体" w:eastAsia="宋体" w:cs="宋体"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场有料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愉悦、</w:t>
      </w:r>
      <w:r>
        <w:rPr>
          <w:rFonts w:hint="eastAsia" w:ascii="宋体" w:hAnsi="宋体" w:eastAsia="宋体" w:cs="宋体"/>
          <w:bCs/>
          <w:sz w:val="24"/>
          <w:szCs w:val="24"/>
        </w:rPr>
        <w:t>充实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且</w:t>
      </w:r>
      <w:r>
        <w:rPr>
          <w:rFonts w:hint="eastAsia" w:ascii="宋体" w:hAnsi="宋体" w:eastAsia="宋体" w:cs="宋体"/>
          <w:bCs/>
          <w:sz w:val="24"/>
          <w:szCs w:val="24"/>
        </w:rPr>
        <w:t>有意义的体验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一、学生准备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1.笔、水、红领巾、纸巾、小点心、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垃圾袋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提前了解当日天气情况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准备好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适宜</w:t>
      </w:r>
      <w:r>
        <w:rPr>
          <w:rFonts w:hint="eastAsia" w:ascii="宋体" w:hAnsi="宋体" w:eastAsia="宋体" w:cs="宋体"/>
          <w:bCs/>
          <w:sz w:val="24"/>
          <w:szCs w:val="24"/>
        </w:rPr>
        <w:t>的衣着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雨具</w:t>
      </w:r>
      <w:r>
        <w:rPr>
          <w:rFonts w:hint="eastAsia" w:ascii="宋体" w:hAnsi="宋体" w:eastAsia="宋体" w:cs="宋体"/>
          <w:bCs/>
          <w:sz w:val="24"/>
          <w:szCs w:val="24"/>
        </w:rPr>
        <w:t>以及防晒用品等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请着舒适的休闲服饰及运动鞋。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建议所有行礼装背包，穿舒适的鞋。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二、学生行前须知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1.参加假日营活动的学员,其监护人必须清楚并完全接受孩子独自出行可能遇到的困难。参加成员需确保本人身体健康,体温监测正常,未患有心脏疾病、传染性疾病、哮喘、癫痫等不适合参加研学活动的其他疾病。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参与活动不建议带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较多的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钱和贵重物品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（那边有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文创产品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如需自备零钱）。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3.药品：自身有过敏反应者自备，并提前告知活动中心带队教师。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4.因本人不服从管理导致发生意外,营员需自己承担所有责任。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.凡报名参加活动的学员均视为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本人及</w:t>
      </w:r>
      <w:r>
        <w:rPr>
          <w:rFonts w:hint="eastAsia" w:ascii="宋体" w:hAnsi="宋体" w:eastAsia="宋体" w:cs="宋体"/>
          <w:kern w:val="0"/>
          <w:sz w:val="24"/>
          <w:szCs w:val="24"/>
        </w:rPr>
        <w:t>其监护人已仔细阅读并接受以上户外活动免责声明内容。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如</w:t>
      </w:r>
      <w:r>
        <w:rPr>
          <w:rFonts w:hint="eastAsia" w:ascii="宋体" w:hAnsi="宋体" w:eastAsia="宋体" w:cs="宋体"/>
          <w:kern w:val="0"/>
          <w:sz w:val="24"/>
          <w:szCs w:val="24"/>
        </w:rPr>
        <w:t>因报名时瞒报、谎报等造成的后果由参与学员与其监护人承担一切责任。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1．纪律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1.统一安排大巴车接送，地点：青少年活动中心(城东)大门内（外停车场），报到集合（5月1日上午8：10送，下午16：00接，请家长关注活动群，具体接送时间也会因为个别原因延迟或提早，出发前会提前告知）。</w:t>
      </w:r>
      <w:r>
        <w:rPr>
          <w:rFonts w:hint="eastAsia" w:ascii="宋体" w:hAnsi="宋体" w:eastAsia="宋体" w:cs="宋体"/>
          <w:bCs/>
          <w:sz w:val="24"/>
          <w:szCs w:val="24"/>
        </w:rPr>
        <w:t>乘车、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</w:rPr>
        <w:t>等必须在老师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Cs/>
          <w:sz w:val="24"/>
          <w:szCs w:val="24"/>
        </w:rPr>
        <w:t>组织下进行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</w:rPr>
        <w:t>时，请按照研学导师的指引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开展活动</w:t>
      </w:r>
      <w:r>
        <w:rPr>
          <w:rFonts w:hint="eastAsia" w:ascii="宋体" w:hAnsi="宋体" w:eastAsia="宋体" w:cs="宋体"/>
          <w:bCs/>
          <w:sz w:val="24"/>
          <w:szCs w:val="24"/>
        </w:rPr>
        <w:t>，紧跟队伍，认真聆听讲解，仔细积极思考问题，提升研学质量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返回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bCs/>
          <w:sz w:val="24"/>
          <w:szCs w:val="24"/>
        </w:rPr>
        <w:t>青少年活动中心，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须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告知</w:t>
      </w:r>
      <w:r>
        <w:rPr>
          <w:rFonts w:hint="eastAsia" w:ascii="宋体" w:hAnsi="宋体" w:eastAsia="宋体" w:cs="宋体"/>
          <w:bCs/>
          <w:sz w:val="24"/>
          <w:szCs w:val="24"/>
        </w:rPr>
        <w:t>老师方可回家。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2．卫生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每位学员都要注意自己的卫生习惯，不得乱扔垃圾，不随地吐痰。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3．文明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每位学员不得损坏公物设施；不得在不安全的地方玩耍；谈吐文明有礼貌；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不可随意摘取植物，破坏物品。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四、退费说明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为保证人员参与度，避免资源浪费，且便于联系车辆和安全管理等工作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1.活动前两天（4.29日）8点前因故不能参加研学活动：可全额退款；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2.活动前一天（4月30日）8点前因故不能参加研学活动：退款50%；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3.5月1日8点后因故不能参加研学活动：不予退款；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如有身体不适请及时告诉老师；自己的物品自己保管，物品如因自己原因损坏或丢失，自行负责。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遇突发事件必须及时通知相关老师，不得擅自脱离队伍。每位学员要记录好老师的联系电话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以便及时联系。</w:t>
      </w:r>
    </w:p>
    <w:p>
      <w:pPr>
        <w:spacing w:line="360" w:lineRule="auto"/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活动实施组长：王老师13615851984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带队老师：叶老师13454512092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张老师13857591268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righ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市青少年活动中心培训部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righ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2024年4月30日</w:t>
      </w:r>
    </w:p>
    <w:p>
      <w:pPr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附件二</w:t>
      </w:r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活动记录表</w:t>
      </w:r>
    </w:p>
    <w:p>
      <w:pPr>
        <w:rPr>
          <w:rFonts w:ascii="仿宋_GB2312" w:hAnsi="华文中宋" w:eastAsia="仿宋_GB2312" w:cs="宋体"/>
          <w:kern w:val="0"/>
          <w:sz w:val="24"/>
          <w:szCs w:val="24"/>
        </w:rPr>
      </w:pPr>
    </w:p>
    <w:tbl>
      <w:tblPr>
        <w:tblStyle w:val="7"/>
        <w:tblW w:w="8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002"/>
        <w:gridCol w:w="180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活动者姓名</w:t>
            </w:r>
          </w:p>
        </w:tc>
        <w:tc>
          <w:tcPr>
            <w:tcW w:w="30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所属社团</w:t>
            </w:r>
          </w:p>
        </w:tc>
        <w:tc>
          <w:tcPr>
            <w:tcW w:w="30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0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活动准备</w:t>
            </w: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活动感受</w:t>
            </w:r>
          </w:p>
        </w:tc>
        <w:tc>
          <w:tcPr>
            <w:tcW w:w="6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附件三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Style w:val="13"/>
          <w:rFonts w:hint="eastAsia"/>
        </w:rPr>
        <w:t>采访记录表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 xml:space="preserve"> 组名：</w:t>
      </w:r>
    </w:p>
    <w:tbl>
      <w:tblPr>
        <w:tblStyle w:val="7"/>
        <w:tblW w:w="89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176"/>
        <w:gridCol w:w="1038"/>
        <w:gridCol w:w="1237"/>
        <w:gridCol w:w="1433"/>
        <w:gridCol w:w="1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采访对象</w:t>
            </w:r>
          </w:p>
        </w:tc>
        <w:tc>
          <w:tcPr>
            <w:tcW w:w="175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访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录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我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题</w:t>
            </w:r>
          </w:p>
        </w:tc>
        <w:tc>
          <w:tcPr>
            <w:tcW w:w="54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问题1：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问题2：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问题3：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23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录</w:t>
            </w:r>
          </w:p>
        </w:tc>
        <w:tc>
          <w:tcPr>
            <w:tcW w:w="54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结果（我的感受或收获）</w:t>
            </w:r>
          </w:p>
        </w:tc>
        <w:tc>
          <w:tcPr>
            <w:tcW w:w="663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中宋" w:eastAsia="仿宋_GB2312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附件四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活动评价表</w:t>
      </w:r>
    </w:p>
    <w:tbl>
      <w:tblPr>
        <w:tblStyle w:val="7"/>
        <w:tblW w:w="10264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4"/>
        <w:gridCol w:w="900"/>
        <w:gridCol w:w="166"/>
        <w:gridCol w:w="705"/>
        <w:gridCol w:w="2008"/>
        <w:gridCol w:w="277"/>
        <w:gridCol w:w="1381"/>
        <w:gridCol w:w="103"/>
        <w:gridCol w:w="1128"/>
        <w:gridCol w:w="268"/>
        <w:gridCol w:w="427"/>
        <w:gridCol w:w="88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6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460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6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评价主体</w:t>
            </w: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419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4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学生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自评</w:t>
            </w: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1、选题的兴趣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1、浓厚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2、一般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3、不感兴趣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2、对所收集的信息整理加工的能力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1好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3较差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3、设计开展活动的方式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1多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3少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4、活动开展的情况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1很顺利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3较困难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5、在活动中是否积极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1很积极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3不积极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6、能否积极合作与人协调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1能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3不能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7、是否努力完成任务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1是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2还行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3否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64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8、对本次活动进一步开展的愿望</w:t>
            </w:r>
          </w:p>
        </w:tc>
        <w:tc>
          <w:tcPr>
            <w:tcW w:w="138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1很想</w:t>
            </w:r>
          </w:p>
        </w:tc>
        <w:tc>
          <w:tcPr>
            <w:tcW w:w="123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2想</w:t>
            </w:r>
          </w:p>
        </w:tc>
        <w:tc>
          <w:tcPr>
            <w:tcW w:w="1580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3不想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64" w:type="dxa"/>
            <w:gridSpan w:val="1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我要对自己说：                                            我给自己    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90" w:type="dxa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1、在小组合作中的表现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1好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3较差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2、对收集资料是否感到困难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1不困呢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3困难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3、对小组协作满意吗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1满意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3不满意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4、收集信息的方法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1多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3少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5、活动成效是否到达预期目标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1达到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2基本达到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3没达到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6、与小组成员合作</w:t>
            </w:r>
          </w:p>
        </w:tc>
        <w:tc>
          <w:tcPr>
            <w:tcW w:w="1484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1很愉快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3不愉快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264" w:type="dxa"/>
            <w:gridSpan w:val="1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我想对你说：                                               我给你      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90" w:type="dxa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教师评价</w:t>
            </w:r>
          </w:p>
        </w:tc>
        <w:tc>
          <w:tcPr>
            <w:tcW w:w="3853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1、学生对所选主题是否感兴趣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1浓厚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3不感兴趣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2、学生经常请教指导老师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1经常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2较少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3很少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3、小组成员自主合作与探究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1能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2基本能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3不能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4、学生收集及处理信息的能力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1好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3较差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5、学生的个人创意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1好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2一般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3没有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6、活动成效是否达到预期目标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1达到</w:t>
            </w:r>
          </w:p>
        </w:tc>
        <w:tc>
          <w:tcPr>
            <w:tcW w:w="1396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2基本达到</w:t>
            </w:r>
          </w:p>
        </w:tc>
        <w:tc>
          <w:tcPr>
            <w:tcW w:w="13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  <w:t>3没达到</w:t>
            </w:r>
          </w:p>
        </w:tc>
        <w:tc>
          <w:tcPr>
            <w:tcW w:w="752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63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64" w:type="dxa"/>
            <w:gridSpan w:val="14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我希望你：                                                    我给你    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64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小组评价得星</w:t>
            </w:r>
          </w:p>
        </w:tc>
        <w:tc>
          <w:tcPr>
            <w:tcW w:w="871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教师评价得星</w:t>
            </w:r>
          </w:p>
        </w:tc>
        <w:tc>
          <w:tcPr>
            <w:tcW w:w="1761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  <w:t>我得到的星</w:t>
            </w:r>
          </w:p>
        </w:tc>
        <w:tc>
          <w:tcPr>
            <w:tcW w:w="1637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rFonts w:hint="eastAsia" w:ascii="仿宋_GB2312" w:hAnsi="华文中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华文中宋" w:eastAsia="仿宋_GB2312" w:cs="宋体"/>
          <w:kern w:val="0"/>
          <w:sz w:val="28"/>
          <w:szCs w:val="28"/>
        </w:rPr>
      </w:pPr>
    </w:p>
    <w:p>
      <w:pPr>
        <w:rPr>
          <w:rFonts w:ascii="仿宋_GB2312" w:hAnsi="华文中宋" w:eastAsia="仿宋_GB2312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310DC"/>
    <w:multiLevelType w:val="singleLevel"/>
    <w:tmpl w:val="C61310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95729D"/>
    <w:multiLevelType w:val="singleLevel"/>
    <w:tmpl w:val="6495729D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55EB655"/>
    <w:multiLevelType w:val="singleLevel"/>
    <w:tmpl w:val="655EB65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71AF7E5"/>
    <w:multiLevelType w:val="singleLevel"/>
    <w:tmpl w:val="671AF7E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708C4"/>
    <w:rsid w:val="00481D0D"/>
    <w:rsid w:val="0066399C"/>
    <w:rsid w:val="00666076"/>
    <w:rsid w:val="00713012"/>
    <w:rsid w:val="0087513E"/>
    <w:rsid w:val="00931FA5"/>
    <w:rsid w:val="00A7041E"/>
    <w:rsid w:val="00C53B19"/>
    <w:rsid w:val="00EA5FF1"/>
    <w:rsid w:val="00EC574C"/>
    <w:rsid w:val="08874E3C"/>
    <w:rsid w:val="0A7476EB"/>
    <w:rsid w:val="143F2883"/>
    <w:rsid w:val="189C5C44"/>
    <w:rsid w:val="1DAC3E1B"/>
    <w:rsid w:val="2893515F"/>
    <w:rsid w:val="2E2B1C34"/>
    <w:rsid w:val="2FEC6366"/>
    <w:rsid w:val="304D7D8B"/>
    <w:rsid w:val="311E2811"/>
    <w:rsid w:val="3D652473"/>
    <w:rsid w:val="3EF953C3"/>
    <w:rsid w:val="45F50337"/>
    <w:rsid w:val="4B672107"/>
    <w:rsid w:val="4EA615CE"/>
    <w:rsid w:val="4F423D84"/>
    <w:rsid w:val="572248B6"/>
    <w:rsid w:val="5EB27DB9"/>
    <w:rsid w:val="68E61C99"/>
    <w:rsid w:val="69965A07"/>
    <w:rsid w:val="6B620683"/>
    <w:rsid w:val="6FA11CE1"/>
    <w:rsid w:val="6FE60D1B"/>
    <w:rsid w:val="74A073D3"/>
    <w:rsid w:val="76AF405A"/>
    <w:rsid w:val="781E5C40"/>
    <w:rsid w:val="7A3315E5"/>
    <w:rsid w:val="7E3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634</Words>
  <Characters>3620</Characters>
  <Lines>30</Lines>
  <Paragraphs>8</Paragraphs>
  <ScaleCrop>false</ScaleCrop>
  <LinksUpToDate>false</LinksUpToDate>
  <CharactersWithSpaces>4246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2024-10-15T11:41:00Z</dcterms:created>
  <dc:creator>19373</dc:creator>
  <cp:lastModifiedBy>sxqsn</cp:lastModifiedBy>
  <cp:lastPrinted>2024-05-07T04:06:00Z</cp:lastPrinted>
  <dcterms:modified xsi:type="dcterms:W3CDTF">2024-10-25T05:34:57Z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5F86E67C214C4E0F9179B3B51BFE56FB</vt:lpwstr>
  </property>
</Properties>
</file>